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847CC">
      <w:pPr>
        <w:pStyle w:val="8"/>
        <w:kinsoku/>
        <w:autoSpaceDE/>
        <w:autoSpaceDN/>
        <w:adjustRightInd/>
        <w:snapToGrid/>
        <w:spacing w:beforeLines="50"/>
        <w:textAlignment w:val="auto"/>
        <w:rPr>
          <w:rFonts w:hint="default" w:ascii="方正小标宋简体" w:hAnsi="方正小标宋简体" w:eastAsia="方正小标宋简体" w:cs="方正小标宋简体"/>
          <w:snapToGrid/>
          <w:sz w:val="44"/>
          <w:szCs w:val="44"/>
        </w:rPr>
      </w:pPr>
      <w:r>
        <w:rPr>
          <w:rFonts w:ascii="方正小标宋简体" w:hAnsi="方正小标宋简体" w:eastAsia="方正小标宋简体" w:cs="方正小标宋简体"/>
          <w:snapToGrid/>
          <w:sz w:val="44"/>
          <w:szCs w:val="44"/>
        </w:rPr>
        <w:t>上海电力大学高等学历继续教育</w:t>
      </w:r>
    </w:p>
    <w:p w14:paraId="235A78B2">
      <w:pPr>
        <w:pStyle w:val="8"/>
        <w:kinsoku/>
        <w:autoSpaceDE/>
        <w:autoSpaceDN/>
        <w:adjustRightInd/>
        <w:snapToGrid/>
        <w:spacing w:beforeLines="50"/>
        <w:textAlignment w:val="auto"/>
        <w:rPr>
          <w:rFonts w:hint="default" w:ascii="方正小标宋简体" w:hAnsi="方正小标宋简体" w:eastAsia="方正小标宋简体" w:cs="方正小标宋简体"/>
          <w:snapToGrid/>
          <w:sz w:val="44"/>
          <w:szCs w:val="44"/>
        </w:rPr>
      </w:pPr>
      <w:r>
        <w:rPr>
          <w:rFonts w:ascii="方正小标宋简体" w:hAnsi="方正小标宋简体" w:eastAsia="方正小标宋简体" w:cs="方正小标宋简体"/>
          <w:snapToGrid/>
          <w:sz w:val="44"/>
          <w:szCs w:val="44"/>
        </w:rPr>
        <w:t>英语学位考试大纲</w:t>
      </w:r>
    </w:p>
    <w:p w14:paraId="2227B95B">
      <w:pPr>
        <w:spacing w:line="304" w:lineRule="auto"/>
      </w:pPr>
    </w:p>
    <w:p w14:paraId="54BB2ADE">
      <w:pPr>
        <w:spacing w:line="305" w:lineRule="auto"/>
      </w:pPr>
    </w:p>
    <w:p w14:paraId="1021305B">
      <w:pPr>
        <w:widowControl w:val="0"/>
        <w:kinsoku/>
        <w:autoSpaceDE/>
        <w:autoSpaceDN/>
        <w:spacing w:line="560" w:lineRule="exact"/>
        <w:ind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一、考试性质</w:t>
      </w:r>
    </w:p>
    <w:p w14:paraId="1602BA1F">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上海电力大学高等学历继续教育英语学位考试旨在客观、公正测试高等学历继续教育本科毕业生对于英语语言的掌握和运用是否达到授予学士学位英语水平的标准。学生自愿报名参加考试。</w:t>
      </w:r>
    </w:p>
    <w:p w14:paraId="3566069F">
      <w:pPr>
        <w:widowControl w:val="0"/>
        <w:kinsoku/>
        <w:autoSpaceDE/>
        <w:autoSpaceDN/>
        <w:spacing w:line="560" w:lineRule="exact"/>
        <w:ind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二、考试要求</w:t>
      </w:r>
    </w:p>
    <w:p w14:paraId="2D9E93FB">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要求考生能够较熟练地掌握英语基本语言技能的综合运用能力。考生在英语语言的掌握和运用方面应达到以下要求：</w:t>
      </w:r>
    </w:p>
    <w:p w14:paraId="2FFFA632">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(一)词汇</w:t>
      </w:r>
    </w:p>
    <w:p w14:paraId="04F08117">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接受性词汇量能达到10000个单词左右，和500个左右常用词组。掌握3000个左右最常用单词和250个左右常用词组，并在阅读、翻译和写作等过程中具有相应的综合应用能力。</w:t>
      </w:r>
    </w:p>
    <w:p w14:paraId="01C0CCEE">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(二)语法</w:t>
      </w:r>
    </w:p>
    <w:p w14:paraId="205DC759">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掌握基本的英语语法知识，并在阅读、翻译和写作等过程中正确运用相关语法，达到正确理解、获取信息及表达思想的目的。</w:t>
      </w:r>
    </w:p>
    <w:p w14:paraId="67BEE268">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需要掌握的具体内容如下：</w:t>
      </w:r>
    </w:p>
    <w:p w14:paraId="0577BF6B">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名词、代词的数和格的构成及其用法；          </w:t>
      </w:r>
    </w:p>
    <w:p w14:paraId="1B81C718">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动词的基本时态、语态的构成及其用法；    </w:t>
      </w:r>
    </w:p>
    <w:p w14:paraId="69E355FF">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形容词、副词的比较级和最高级的构成及用法； </w:t>
      </w:r>
    </w:p>
    <w:p w14:paraId="3C31C40E">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常用连接词、冠词的词义及其用法；</w:t>
      </w:r>
    </w:p>
    <w:p w14:paraId="64A05CB8">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非谓语动词(不定式、动名词、分词)的构成及其用法； </w:t>
      </w:r>
    </w:p>
    <w:p w14:paraId="4815A071">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虚拟语气的构成及其用法；        </w:t>
      </w:r>
    </w:p>
    <w:p w14:paraId="61DDAC88">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各类从句的构成及其用法；                        </w:t>
      </w:r>
    </w:p>
    <w:p w14:paraId="214CFB25">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基本句型的结构及其用法；                        </w:t>
      </w:r>
    </w:p>
    <w:p w14:paraId="40331AB6">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强调句型的结构及其用法；                        </w:t>
      </w:r>
    </w:p>
    <w:p w14:paraId="08FBECD3">
      <w:pPr>
        <w:widowControl w:val="0"/>
        <w:numPr>
          <w:ilvl w:val="0"/>
          <w:numId w:val="1"/>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常用倒装句的结构及其用法。</w:t>
      </w:r>
    </w:p>
    <w:p w14:paraId="47EDF86A">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(三)阅读</w:t>
      </w:r>
    </w:p>
    <w:p w14:paraId="7C702FE6">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能够综合运用英语知识、词汇、语法和基本阅读技能，读懂难度适中的一般性题材(经济、社会、政法、历史、科普、管理等)和体裁 (记叙文、议论文、说明文、应用文等)的英语文章。</w:t>
      </w:r>
    </w:p>
    <w:p w14:paraId="2D5C52DD">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具体要求为：</w:t>
      </w:r>
    </w:p>
    <w:p w14:paraId="22E35820">
      <w:pPr>
        <w:widowControl w:val="0"/>
        <w:numPr>
          <w:ilvl w:val="0"/>
          <w:numId w:val="2"/>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能够理解段落主旨要义、主要内容和细节；</w:t>
      </w:r>
    </w:p>
    <w:p w14:paraId="389688AF">
      <w:pPr>
        <w:widowControl w:val="0"/>
        <w:numPr>
          <w:ilvl w:val="0"/>
          <w:numId w:val="2"/>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 xml:space="preserve">能够根据文章结构及单句之间、段落之间的关系，对文章中词汇意义、用法以及文章的理解，补充完整，使文章意思通顺、前后连贯； </w:t>
      </w:r>
    </w:p>
    <w:p w14:paraId="6E8B8E84">
      <w:pPr>
        <w:widowControl w:val="0"/>
        <w:numPr>
          <w:ilvl w:val="0"/>
          <w:numId w:val="2"/>
        </w:numPr>
        <w:kinsoku/>
        <w:autoSpaceDE/>
        <w:autoSpaceDN/>
        <w:spacing w:line="56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能够理解文章的具体信息、主旨要义、进行推理和引申。</w:t>
      </w:r>
    </w:p>
    <w:p w14:paraId="1892C56B">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(四)翻译</w:t>
      </w:r>
    </w:p>
    <w:p w14:paraId="77F53300">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能够在不借助词典的情况下将一般难度、非专业性题材的英汉句子进行互译。译文通顺，用词基本正确，无重大语法错误。</w:t>
      </w:r>
    </w:p>
    <w:p w14:paraId="594E8FDE">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(五)写作</w:t>
      </w:r>
    </w:p>
    <w:p w14:paraId="74A62F5B">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能够用英语按照所给提纲或情景进行一般性话题的书面说明或论述。所写短文要求主题明确，条理清楚，语言规范，表情达意。</w:t>
      </w:r>
    </w:p>
    <w:p w14:paraId="735A09CA">
      <w:pPr>
        <w:widowControl w:val="0"/>
        <w:kinsoku/>
        <w:autoSpaceDE/>
        <w:autoSpaceDN/>
        <w:spacing w:line="560" w:lineRule="exact"/>
        <w:ind w:firstLine="640" w:firstLineChars="200"/>
        <w:jc w:val="both"/>
        <w:textAlignment w:val="auto"/>
      </w:pPr>
      <w:r>
        <w:rPr>
          <w:rFonts w:hint="eastAsia" w:ascii="黑体" w:hAnsi="黑体" w:eastAsia="黑体" w:cs="黑体"/>
          <w:snapToGrid/>
          <w:kern w:val="2"/>
          <w:sz w:val="32"/>
          <w:szCs w:val="32"/>
        </w:rPr>
        <w:t>三、试卷结构</w:t>
      </w:r>
    </w:p>
    <w:p w14:paraId="23A952F4">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试卷题型分为五个部分：词汇和语法、阅读理解、句子汉译英、句子英译汉和短文写作。</w:t>
      </w:r>
    </w:p>
    <w:p w14:paraId="7E9632A6">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(一)词汇和语法</w:t>
      </w:r>
    </w:p>
    <w:p w14:paraId="0049ADED">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本部分共设 20 题。每一题中有一个空白，要求考生在理解句意的基础上在4个选择项中选择一个最佳答案。本部分满分为20分，每题 1 分。</w:t>
      </w:r>
    </w:p>
    <w:p w14:paraId="5A22A59F">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(二)阅读理解</w:t>
      </w:r>
    </w:p>
    <w:p w14:paraId="54669348">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本部分共有4篇短文，每篇约350单词左右。每篇短文后设5题，共20题。考生须在理解文章的基础上从每题所给的4个选择项中选择一个最佳答案。本部分满分为40分，每题2分。</w:t>
      </w:r>
    </w:p>
    <w:p w14:paraId="3BE61623">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(三)汉译英</w:t>
      </w:r>
    </w:p>
    <w:p w14:paraId="1E3721F2">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本部分共有5个汉语句子，要求考生翻译成英语。要求译文意思准确，文字通顺。本部分满分为15分，每题3分。</w:t>
      </w:r>
    </w:p>
    <w:p w14:paraId="55F8DFC6">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(四)英译汉</w:t>
      </w:r>
    </w:p>
    <w:p w14:paraId="2F8F2178">
      <w:pPr>
        <w:widowControl w:val="0"/>
        <w:kinsoku/>
        <w:autoSpaceDE/>
        <w:autoSpaceDN/>
        <w:spacing w:line="56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本部分共有5个英语句子，要求考生翻译成汉语。要求译文意思准确，文字通顺。本部分满分为15分，每题3 分。</w:t>
      </w:r>
    </w:p>
    <w:p w14:paraId="72C8ACDA">
      <w:pPr>
        <w:widowControl w:val="0"/>
        <w:kinsoku/>
        <w:autoSpaceDE/>
        <w:autoSpaceDN/>
        <w:spacing w:line="560" w:lineRule="exact"/>
        <w:ind w:firstLine="643" w:firstLineChars="200"/>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(五)短文写作</w:t>
      </w:r>
    </w:p>
    <w:p w14:paraId="445B95A3">
      <w:pPr>
        <w:widowControl w:val="0"/>
        <w:kinsoku/>
        <w:autoSpaceDE/>
        <w:autoSpaceDN/>
        <w:spacing w:line="560" w:lineRule="exact"/>
        <w:ind w:firstLine="640" w:firstLineChars="200"/>
        <w:jc w:val="both"/>
        <w:textAlignment w:val="auto"/>
      </w:pPr>
      <w:r>
        <w:rPr>
          <w:rFonts w:hint="eastAsia" w:ascii="仿宋" w:hAnsi="仿宋" w:eastAsia="仿宋" w:cs="仿宋"/>
          <w:snapToGrid/>
          <w:kern w:val="2"/>
          <w:sz w:val="32"/>
          <w:szCs w:val="32"/>
        </w:rPr>
        <w:t>本部分共1题，要求考生根据题目要求和所给提纲的提示，说明或论述一个一般性话题，文章长度不低于120个英文单词。本部分满分为 10分。</w:t>
      </w:r>
      <w:bookmarkStart w:id="0" w:name="_GoBack"/>
      <w:bookmarkEnd w:id="0"/>
    </w:p>
    <w:p w14:paraId="53971511">
      <w:pPr>
        <w:spacing w:line="274" w:lineRule="auto"/>
      </w:pPr>
    </w:p>
    <w:p w14:paraId="6F30BE77">
      <w:pPr>
        <w:spacing w:line="264" w:lineRule="auto"/>
        <w:rPr>
          <w:rFonts w:ascii="仿宋" w:hAnsi="仿宋" w:eastAsia="仿宋" w:cs="仿宋"/>
        </w:rPr>
      </w:pPr>
    </w:p>
    <w:p w14:paraId="3736593A">
      <w:pPr>
        <w:spacing w:line="264" w:lineRule="auto"/>
      </w:pPr>
    </w:p>
    <w:sectPr>
      <w:footerReference r:id="rId3" w:type="default"/>
      <w:pgSz w:w="11906" w:h="16839"/>
      <w:pgMar w:top="1431" w:right="1770" w:bottom="1224" w:left="1770" w:header="0" w:footer="98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C62AA8E-B98B-415A-A8B9-6208185B4DDF}"/>
  </w:font>
  <w:font w:name="黑体">
    <w:panose1 w:val="02010609060101010101"/>
    <w:charset w:val="86"/>
    <w:family w:val="auto"/>
    <w:pitch w:val="default"/>
    <w:sig w:usb0="800002BF" w:usb1="38CF7CFA" w:usb2="00000016" w:usb3="00000000" w:csb0="00040001" w:csb1="00000000"/>
    <w:embedRegular r:id="rId2" w:fontKey="{E27F9B9E-673E-476A-AFEB-6624EFFEF3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CED753B-509F-4EDB-8190-02F5C917B2E6}"/>
  </w:font>
  <w:font w:name="仿宋">
    <w:panose1 w:val="02010609060101010101"/>
    <w:charset w:val="86"/>
    <w:family w:val="auto"/>
    <w:pitch w:val="default"/>
    <w:sig w:usb0="800002BF" w:usb1="38CF7CFA" w:usb2="00000016" w:usb3="00000000" w:csb0="00040001" w:csb1="00000000"/>
    <w:embedRegular r:id="rId4" w:fontKey="{B148B697-49BB-4082-9EB5-3111BD425F86}"/>
  </w:font>
  <w:font w:name="pingfang sc">
    <w:altName w:val="微软雅黑"/>
    <w:panose1 w:val="00000000000000000000"/>
    <w:charset w:val="86"/>
    <w:family w:val="auto"/>
    <w:pitch w:val="default"/>
    <w:sig w:usb0="00000000" w:usb1="00000000" w:usb2="00000017" w:usb3="00000000" w:csb0="00040001" w:csb1="00000000"/>
  </w:font>
  <w:font w:name="方正小标宋简体">
    <w:panose1 w:val="02000000000000000000"/>
    <w:charset w:val="86"/>
    <w:family w:val="auto"/>
    <w:pitch w:val="default"/>
    <w:sig w:usb0="00000001" w:usb1="08000000" w:usb2="00000000" w:usb3="00000000" w:csb0="00040000" w:csb1="00000000"/>
    <w:embedRegular r:id="rId5" w:fontKey="{609E2772-1422-4819-9035-3BA8B2E374A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311814"/>
      <w:docPartObj>
        <w:docPartGallery w:val="autotext"/>
      </w:docPartObj>
    </w:sdtPr>
    <w:sdtContent>
      <w:p w14:paraId="26FA4FFB">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303F31D5">
    <w:pPr>
      <w:spacing w:line="240" w:lineRule="exact"/>
      <w:ind w:left="4064"/>
      <w:rPr>
        <w:rFonts w:ascii="Calibri" w:hAnsi="Calibri" w:eastAsia="Calibri" w:cs="Calibri"/>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2B453"/>
    <w:multiLevelType w:val="singleLevel"/>
    <w:tmpl w:val="6CD2B453"/>
    <w:lvl w:ilvl="0" w:tentative="0">
      <w:start w:val="1"/>
      <w:numFmt w:val="decimal"/>
      <w:lvlText w:val="%1."/>
      <w:lvlJc w:val="left"/>
      <w:pPr>
        <w:tabs>
          <w:tab w:val="left" w:pos="420"/>
        </w:tabs>
        <w:ind w:left="845" w:hanging="425"/>
      </w:pPr>
      <w:rPr>
        <w:rFonts w:hint="default"/>
      </w:rPr>
    </w:lvl>
  </w:abstractNum>
  <w:abstractNum w:abstractNumId="1">
    <w:nsid w:val="70B29884"/>
    <w:multiLevelType w:val="singleLevel"/>
    <w:tmpl w:val="70B29884"/>
    <w:lvl w:ilvl="0" w:tentative="0">
      <w:start w:val="1"/>
      <w:numFmt w:val="decimal"/>
      <w:lvlText w:val="%1."/>
      <w:lvlJc w:val="left"/>
      <w:pPr>
        <w:tabs>
          <w:tab w:val="left" w:pos="420"/>
        </w:tabs>
        <w:ind w:left="84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ODliYjk1YWUzZTk3ODZlNzI5OWQ4ZjM0ZmFmNDAifQ=="/>
  </w:docVars>
  <w:rsids>
    <w:rsidRoot w:val="00432573"/>
    <w:rsid w:val="001F3712"/>
    <w:rsid w:val="002E1BE3"/>
    <w:rsid w:val="002E2E2D"/>
    <w:rsid w:val="00413F86"/>
    <w:rsid w:val="00432573"/>
    <w:rsid w:val="009A2998"/>
    <w:rsid w:val="00DF6CCE"/>
    <w:rsid w:val="07C63ECE"/>
    <w:rsid w:val="0CBE467B"/>
    <w:rsid w:val="279D1605"/>
    <w:rsid w:val="308C2216"/>
    <w:rsid w:val="4F644633"/>
    <w:rsid w:val="59926240"/>
    <w:rsid w:val="5CF51C4D"/>
    <w:rsid w:val="605E50FF"/>
    <w:rsid w:val="60782912"/>
    <w:rsid w:val="71E554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sz w:val="20"/>
    </w:rPr>
  </w:style>
  <w:style w:type="paragraph" w:styleId="3">
    <w:name w:val="footer"/>
    <w:basedOn w:val="1"/>
    <w:link w:val="10"/>
    <w:qFormat/>
    <w:uiPriority w:val="99"/>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p3"/>
    <w:basedOn w:val="1"/>
    <w:qFormat/>
    <w:uiPriority w:val="0"/>
    <w:pPr>
      <w:spacing w:line="560" w:lineRule="atLeast"/>
      <w:jc w:val="center"/>
    </w:pPr>
    <w:rPr>
      <w:rFonts w:hint="eastAsia" w:ascii="pingfang sc" w:hAnsi="pingfang sc" w:eastAsia="pingfang sc" w:cs="Times New Roman"/>
      <w:sz w:val="40"/>
      <w:szCs w:val="40"/>
    </w:rPr>
  </w:style>
  <w:style w:type="character" w:customStyle="1" w:styleId="9">
    <w:name w:val="页眉 Char"/>
    <w:basedOn w:val="6"/>
    <w:link w:val="4"/>
    <w:qFormat/>
    <w:uiPriority w:val="0"/>
    <w:rPr>
      <w:rFonts w:eastAsia="Arial"/>
      <w:snapToGrid w:val="0"/>
      <w:color w:val="000000"/>
      <w:sz w:val="18"/>
      <w:szCs w:val="18"/>
    </w:rPr>
  </w:style>
  <w:style w:type="character" w:customStyle="1" w:styleId="10">
    <w:name w:val="页脚 Char"/>
    <w:basedOn w:val="6"/>
    <w:link w:val="3"/>
    <w:qFormat/>
    <w:uiPriority w:val="99"/>
    <w:rPr>
      <w:rFonts w:eastAsia="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1259</Words>
  <Characters>1296</Characters>
  <Lines>10</Lines>
  <Paragraphs>2</Paragraphs>
  <TotalTime>8</TotalTime>
  <ScaleCrop>false</ScaleCrop>
  <LinksUpToDate>false</LinksUpToDate>
  <CharactersWithSpaces>1402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2022-09-26T13:27:00Z</dcterms:created>
  <dc:creator>Administrator</dc:creator>
  <cp:lastModifiedBy>志萍</cp:lastModifiedBy>
  <dcterms:modified xsi:type="dcterms:W3CDTF">2024-11-05T02:32:21Z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2022-10-18T12:43:12Z</vt:filetime>
  </property>
  <property fmtid="{D5CDD505-2E9C-101B-9397-08002B2CF9AE}" pid="4" name="KSOProductBuildVer">
    <vt:lpwstr>2052-12.1.0.18608</vt:lpwstr>
  </property>
  <property fmtid="{D5CDD505-2E9C-101B-9397-08002B2CF9AE}" pid="5" name="ICV">
    <vt:lpwstr>948515C299434164A37D0BB751B58EAF_13</vt:lpwstr>
  </property>
</Properties>
</file>